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98" w:rsidRDefault="007F4098" w:rsidP="007F4098">
      <w:pPr>
        <w:tabs>
          <w:tab w:val="left" w:pos="7176"/>
        </w:tabs>
      </w:pPr>
      <w:bookmarkStart w:id="0" w:name="_GoBack"/>
      <w:bookmarkEnd w:id="0"/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229"/>
      </w:tblGrid>
      <w:tr w:rsidR="007F4098" w:rsidRPr="007F4098" w:rsidTr="007F4098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98" w:rsidRPr="007F4098" w:rsidRDefault="007F4098" w:rsidP="007F40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 w:rsidRPr="007F40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7F4098" w:rsidRPr="007F4098" w:rsidTr="007F4098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98" w:rsidRPr="007F4098" w:rsidRDefault="007F4098" w:rsidP="007F40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40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 проекту решения</w:t>
            </w:r>
          </w:p>
        </w:tc>
      </w:tr>
      <w:tr w:rsidR="007F4098" w:rsidRPr="007F4098" w:rsidTr="007F4098">
        <w:trPr>
          <w:trHeight w:val="52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98" w:rsidRPr="007F4098" w:rsidRDefault="007F4098" w:rsidP="007F40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Pr="007F40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Совета Пригородного сельского поселения Крымского района</w:t>
            </w:r>
          </w:p>
        </w:tc>
      </w:tr>
      <w:tr w:rsidR="007F4098" w:rsidRPr="007F4098" w:rsidTr="007F4098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98" w:rsidRPr="007F4098" w:rsidRDefault="007F4098" w:rsidP="007F40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u w:val="single"/>
                <w:lang w:eastAsia="ru-RU"/>
              </w:rPr>
            </w:pPr>
            <w:r w:rsidRPr="007F4098">
              <w:rPr>
                <w:rFonts w:ascii="Arial CYR" w:eastAsia="Times New Roman" w:hAnsi="Arial CYR" w:cs="Arial CYR"/>
                <w:sz w:val="20"/>
                <w:szCs w:val="20"/>
                <w:u w:val="single"/>
                <w:lang w:eastAsia="ru-RU"/>
              </w:rPr>
              <w:t>на 2022 год</w:t>
            </w:r>
          </w:p>
        </w:tc>
      </w:tr>
      <w:tr w:rsidR="007F4098" w:rsidRPr="007F4098" w:rsidTr="007F4098">
        <w:trPr>
          <w:trHeight w:val="264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98" w:rsidRPr="007F4098" w:rsidRDefault="007F4098" w:rsidP="007F40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u w:val="single"/>
                <w:lang w:eastAsia="ru-RU"/>
              </w:rPr>
            </w:pPr>
          </w:p>
        </w:tc>
      </w:tr>
    </w:tbl>
    <w:p w:rsidR="007F4098" w:rsidRDefault="007F4098" w:rsidP="007F4098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</w:pPr>
      <w:r w:rsidRPr="007F4098"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  <w:t>Поступление доходов в бюджет Пригородного сельского поселения Крымского района</w:t>
      </w:r>
    </w:p>
    <w:p w:rsidR="007F4098" w:rsidRPr="007F4098" w:rsidRDefault="007F4098" w:rsidP="007F4098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</w:pPr>
      <w:r w:rsidRPr="007F4098">
        <w:rPr>
          <w:rFonts w:ascii="Arial CYR" w:eastAsia="Times New Roman" w:hAnsi="Arial CYR" w:cs="Arial CYR"/>
          <w:b/>
          <w:bCs/>
          <w:sz w:val="20"/>
          <w:szCs w:val="20"/>
          <w:lang w:eastAsia="ru-RU"/>
        </w:rPr>
        <w:t>в 2022 году</w: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568"/>
        <w:gridCol w:w="2395"/>
        <w:gridCol w:w="6095"/>
        <w:gridCol w:w="1115"/>
      </w:tblGrid>
      <w:tr w:rsidR="007F4098" w:rsidRPr="007F4098" w:rsidTr="007F4098">
        <w:trPr>
          <w:trHeight w:val="269"/>
        </w:trPr>
        <w:tc>
          <w:tcPr>
            <w:tcW w:w="568" w:type="dxa"/>
            <w:vMerge w:val="restart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 xml:space="preserve">№ </w:t>
            </w:r>
            <w:proofErr w:type="gramStart"/>
            <w:r w:rsidRPr="007F4098">
              <w:rPr>
                <w:b/>
                <w:bCs/>
              </w:rPr>
              <w:t>п</w:t>
            </w:r>
            <w:proofErr w:type="gramEnd"/>
            <w:r w:rsidRPr="007F4098">
              <w:rPr>
                <w:b/>
                <w:bCs/>
              </w:rPr>
              <w:t>/п</w:t>
            </w:r>
          </w:p>
        </w:tc>
        <w:tc>
          <w:tcPr>
            <w:tcW w:w="2395" w:type="dxa"/>
            <w:vMerge w:val="restart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6095" w:type="dxa"/>
            <w:vMerge w:val="restart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Наименование дохода</w:t>
            </w:r>
          </w:p>
        </w:tc>
        <w:tc>
          <w:tcPr>
            <w:tcW w:w="1115" w:type="dxa"/>
            <w:vMerge w:val="restart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План 2021 г.</w:t>
            </w:r>
          </w:p>
        </w:tc>
      </w:tr>
      <w:tr w:rsidR="007F4098" w:rsidRPr="007F4098" w:rsidTr="007F4098">
        <w:trPr>
          <w:trHeight w:val="705"/>
        </w:trPr>
        <w:tc>
          <w:tcPr>
            <w:tcW w:w="568" w:type="dxa"/>
            <w:vMerge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</w:p>
        </w:tc>
        <w:tc>
          <w:tcPr>
            <w:tcW w:w="2395" w:type="dxa"/>
            <w:vMerge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</w:p>
        </w:tc>
        <w:tc>
          <w:tcPr>
            <w:tcW w:w="6095" w:type="dxa"/>
            <w:vMerge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</w:p>
        </w:tc>
        <w:tc>
          <w:tcPr>
            <w:tcW w:w="1115" w:type="dxa"/>
            <w:vMerge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</w:p>
        </w:tc>
      </w:tr>
      <w:tr w:rsidR="007F4098" w:rsidRPr="007F4098" w:rsidTr="007F4098">
        <w:trPr>
          <w:trHeight w:val="345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1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100 00000 00 0000 000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13 860,7</w:t>
            </w:r>
          </w:p>
        </w:tc>
      </w:tr>
      <w:tr w:rsidR="007F4098" w:rsidRPr="007F4098" w:rsidTr="007F4098">
        <w:trPr>
          <w:trHeight w:val="810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101 02000 01 0000 110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Налог на доходы физических лиц*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4 600,0</w:t>
            </w:r>
          </w:p>
        </w:tc>
      </w:tr>
      <w:tr w:rsidR="007F4098" w:rsidRPr="007F4098" w:rsidTr="007F4098">
        <w:trPr>
          <w:trHeight w:val="1410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103 02230 01 0000 110        103 02240 01 0000 110                  103 02250 01 0000 110                          103 02260 01 0000 110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Доходы от уплаты акцизов на нефтепродукты, производимые на территории Российской Федерации</w:t>
            </w:r>
            <w:proofErr w:type="gramStart"/>
            <w:r w:rsidRPr="007F4098">
              <w:t xml:space="preserve"> ,</w:t>
            </w:r>
            <w:proofErr w:type="gramEnd"/>
            <w:r w:rsidRPr="007F4098">
              <w:t xml:space="preserve"> подлежащие распределению между бюджетами субъектов Российской Федерации и местными бюджетами с учетом установленных </w:t>
            </w:r>
            <w:proofErr w:type="spellStart"/>
            <w:r w:rsidRPr="007F4098">
              <w:t>дефференцированных</w:t>
            </w:r>
            <w:proofErr w:type="spellEnd"/>
            <w:r w:rsidRPr="007F4098">
              <w:t xml:space="preserve"> нормативов отчислений в местные бюджеты*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3 910,7</w:t>
            </w:r>
          </w:p>
        </w:tc>
      </w:tr>
      <w:tr w:rsidR="007F4098" w:rsidRPr="007F4098" w:rsidTr="007F4098">
        <w:trPr>
          <w:trHeight w:val="855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105 03000 01 0000 110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 xml:space="preserve">Единый сельскохозяйственный* 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900,0</w:t>
            </w:r>
          </w:p>
        </w:tc>
      </w:tr>
      <w:tr w:rsidR="007F4098" w:rsidRPr="007F4098" w:rsidTr="007F4098">
        <w:trPr>
          <w:trHeight w:val="945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106 01030 10 0000 110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Налог на имущество физических лиц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1 350,0</w:t>
            </w:r>
          </w:p>
        </w:tc>
      </w:tr>
      <w:tr w:rsidR="007F4098" w:rsidRPr="007F4098" w:rsidTr="007F4098">
        <w:trPr>
          <w:trHeight w:val="1110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106 06000 10 0000 110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Земельный налог*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2 900,0</w:t>
            </w:r>
          </w:p>
        </w:tc>
      </w:tr>
      <w:tr w:rsidR="007F4098" w:rsidRPr="007F4098" w:rsidTr="007F4098">
        <w:trPr>
          <w:trHeight w:val="1560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111 05035 10 0000 120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200,0</w:t>
            </w:r>
          </w:p>
        </w:tc>
      </w:tr>
      <w:tr w:rsidR="007F4098" w:rsidRPr="007F4098" w:rsidTr="007F4098">
        <w:trPr>
          <w:trHeight w:val="915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2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200 00000 00 0000 000</w:t>
            </w:r>
          </w:p>
        </w:tc>
        <w:tc>
          <w:tcPr>
            <w:tcW w:w="60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12 147,8</w:t>
            </w:r>
          </w:p>
        </w:tc>
      </w:tr>
      <w:tr w:rsidR="007F4098" w:rsidRPr="007F4098" w:rsidTr="007F4098">
        <w:trPr>
          <w:trHeight w:val="930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20200000000000000</w:t>
            </w:r>
          </w:p>
        </w:tc>
        <w:tc>
          <w:tcPr>
            <w:tcW w:w="60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11 767,8</w:t>
            </w:r>
          </w:p>
        </w:tc>
      </w:tr>
      <w:tr w:rsidR="007F4098" w:rsidRPr="007F4098" w:rsidTr="007F4098">
        <w:trPr>
          <w:trHeight w:val="1080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202 15000 10 0000 150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Дотации от других бюджетов бюджетной системы Российской Федерации (краевой бюджет)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11 516,6</w:t>
            </w:r>
          </w:p>
        </w:tc>
      </w:tr>
      <w:tr w:rsidR="007F4098" w:rsidRPr="007F4098" w:rsidTr="007F4098">
        <w:trPr>
          <w:trHeight w:val="1110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lastRenderedPageBreak/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202 02000 00 0000 150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Субвенции от других бюджетов бюджетной системы РФ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251,2</w:t>
            </w:r>
          </w:p>
        </w:tc>
      </w:tr>
      <w:tr w:rsidR="007F4098" w:rsidRPr="007F4098" w:rsidTr="007F4098">
        <w:trPr>
          <w:trHeight w:val="975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207 00000 10 0000 150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Прочие безвозмездные поступления в бюджеты поселений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380,0</w:t>
            </w:r>
          </w:p>
        </w:tc>
      </w:tr>
      <w:tr w:rsidR="007F4098" w:rsidRPr="007F4098" w:rsidTr="007F4098">
        <w:trPr>
          <w:trHeight w:val="975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207 05030 10 0000 150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Прочие безвозмездные поступления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380,0</w:t>
            </w:r>
          </w:p>
        </w:tc>
      </w:tr>
      <w:tr w:rsidR="007F4098" w:rsidRPr="007F4098" w:rsidTr="007F4098">
        <w:trPr>
          <w:trHeight w:val="1170"/>
        </w:trPr>
        <w:tc>
          <w:tcPr>
            <w:tcW w:w="568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3</w:t>
            </w:r>
          </w:p>
        </w:tc>
        <w:tc>
          <w:tcPr>
            <w:tcW w:w="239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</w:pPr>
            <w:r w:rsidRPr="007F4098">
              <w:t> </w:t>
            </w:r>
          </w:p>
        </w:tc>
        <w:tc>
          <w:tcPr>
            <w:tcW w:w="6095" w:type="dxa"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ИТОГО ДОХОДОВ</w:t>
            </w:r>
          </w:p>
        </w:tc>
        <w:tc>
          <w:tcPr>
            <w:tcW w:w="1115" w:type="dxa"/>
            <w:noWrap/>
            <w:hideMark/>
          </w:tcPr>
          <w:p w:rsidR="007F4098" w:rsidRPr="007F4098" w:rsidRDefault="007F4098" w:rsidP="007F4098">
            <w:pPr>
              <w:tabs>
                <w:tab w:val="left" w:pos="7176"/>
              </w:tabs>
              <w:rPr>
                <w:b/>
                <w:bCs/>
              </w:rPr>
            </w:pPr>
            <w:r w:rsidRPr="007F4098">
              <w:rPr>
                <w:b/>
                <w:bCs/>
              </w:rPr>
              <w:t>26 008,5</w:t>
            </w:r>
          </w:p>
        </w:tc>
      </w:tr>
    </w:tbl>
    <w:p w:rsidR="007F4098" w:rsidRDefault="007F4098" w:rsidP="007F4098">
      <w:pPr>
        <w:tabs>
          <w:tab w:val="left" w:pos="7176"/>
        </w:tabs>
        <w:ind w:left="-567" w:firstLine="567"/>
      </w:pPr>
    </w:p>
    <w:p w:rsidR="007F4098" w:rsidRDefault="007F4098" w:rsidP="007F4098"/>
    <w:p w:rsidR="007F4098" w:rsidRDefault="007F4098" w:rsidP="007F4098">
      <w:r w:rsidRPr="007F4098">
        <w:t xml:space="preserve">Глава Пригородного  сельского поселения   </w:t>
      </w:r>
    </w:p>
    <w:p w:rsidR="00146826" w:rsidRPr="007F4098" w:rsidRDefault="007F4098" w:rsidP="007F4098">
      <w:r w:rsidRPr="007F4098">
        <w:t xml:space="preserve">Крымского района                                </w:t>
      </w:r>
      <w:r>
        <w:t xml:space="preserve">                                                                      </w:t>
      </w:r>
      <w:r w:rsidRPr="007F4098">
        <w:t xml:space="preserve">  </w:t>
      </w:r>
      <w:proofErr w:type="spellStart"/>
      <w:r w:rsidRPr="007F4098">
        <w:t>В.В.Лазарев</w:t>
      </w:r>
      <w:proofErr w:type="spellEnd"/>
    </w:p>
    <w:sectPr w:rsidR="00146826" w:rsidRPr="007F4098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31" w:rsidRDefault="00E52B31" w:rsidP="007F4098">
      <w:pPr>
        <w:spacing w:after="0" w:line="240" w:lineRule="auto"/>
      </w:pPr>
      <w:r>
        <w:separator/>
      </w:r>
    </w:p>
  </w:endnote>
  <w:endnote w:type="continuationSeparator" w:id="0">
    <w:p w:rsidR="00E52B31" w:rsidRDefault="00E52B31" w:rsidP="007F4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31" w:rsidRDefault="00E52B31" w:rsidP="007F4098">
      <w:pPr>
        <w:spacing w:after="0" w:line="240" w:lineRule="auto"/>
      </w:pPr>
      <w:r>
        <w:separator/>
      </w:r>
    </w:p>
  </w:footnote>
  <w:footnote w:type="continuationSeparator" w:id="0">
    <w:p w:rsidR="00E52B31" w:rsidRDefault="00E52B31" w:rsidP="007F40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098"/>
    <w:rsid w:val="00116333"/>
    <w:rsid w:val="00146826"/>
    <w:rsid w:val="007F4098"/>
    <w:rsid w:val="00E5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098"/>
  </w:style>
  <w:style w:type="paragraph" w:styleId="a5">
    <w:name w:val="footer"/>
    <w:basedOn w:val="a"/>
    <w:link w:val="a6"/>
    <w:uiPriority w:val="99"/>
    <w:unhideWhenUsed/>
    <w:rsid w:val="007F4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098"/>
  </w:style>
  <w:style w:type="table" w:styleId="a7">
    <w:name w:val="Table Grid"/>
    <w:basedOn w:val="a1"/>
    <w:uiPriority w:val="59"/>
    <w:rsid w:val="007F4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098"/>
  </w:style>
  <w:style w:type="paragraph" w:styleId="a5">
    <w:name w:val="footer"/>
    <w:basedOn w:val="a"/>
    <w:link w:val="a6"/>
    <w:uiPriority w:val="99"/>
    <w:unhideWhenUsed/>
    <w:rsid w:val="007F4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098"/>
  </w:style>
  <w:style w:type="table" w:styleId="a7">
    <w:name w:val="Table Grid"/>
    <w:basedOn w:val="a1"/>
    <w:uiPriority w:val="59"/>
    <w:rsid w:val="007F4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2021-11-30T08:40:00Z</dcterms:created>
  <dcterms:modified xsi:type="dcterms:W3CDTF">2021-11-30T08:44:00Z</dcterms:modified>
</cp:coreProperties>
</file>